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3"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pPr>
      <w:r w:rsidDel="00000000" w:rsidR="00000000" w:rsidRPr="00000000">
        <w:rPr>
          <w:rtl w:val="0"/>
        </w:rPr>
        <w:t xml:space="preserve">GTVCCA </w:t>
      </w:r>
      <w:r w:rsidDel="00000000" w:rsidR="00000000" w:rsidRPr="00000000">
        <w:rPr>
          <w:rtl w:val="0"/>
        </w:rPr>
        <w:t xml:space="preserve">Grievance Policy and Procedures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 Policy #05</w:t>
      </w:r>
    </w:p>
    <w:p w:rsidR="00000000" w:rsidDel="00000000" w:rsidP="00000000" w:rsidRDefault="00000000" w:rsidRPr="00000000" w14:paraId="00000004">
      <w:pPr>
        <w:spacing w:line="276" w:lineRule="auto"/>
        <w:rPr/>
      </w:pPr>
      <w:r w:rsidDel="00000000" w:rsidR="00000000" w:rsidRPr="00000000">
        <w:rPr>
          <w:rtl w:val="0"/>
        </w:rPr>
        <w:t xml:space="preserve">Date of Institution: </w:t>
      </w:r>
      <w:r w:rsidDel="00000000" w:rsidR="00000000" w:rsidRPr="00000000">
        <w:rPr>
          <w:rtl w:val="0"/>
        </w:rPr>
        <w:t xml:space="preserve">2022-01-28</w:t>
      </w:r>
      <w:r w:rsidDel="00000000" w:rsidR="00000000" w:rsidRPr="00000000">
        <w:rPr>
          <w:rtl w:val="0"/>
        </w:rPr>
      </w:r>
    </w:p>
    <w:p w:rsidR="00000000" w:rsidDel="00000000" w:rsidP="00000000" w:rsidRDefault="00000000" w:rsidRPr="00000000" w14:paraId="00000005">
      <w:pPr>
        <w:pStyle w:val="Heading2"/>
        <w:spacing w:line="276" w:lineRule="auto"/>
        <w:rPr/>
      </w:pPr>
      <w:bookmarkStart w:colFirst="0" w:colLast="0" w:name="_heading=h.kdu7xi6t16ae" w:id="0"/>
      <w:bookmarkEnd w:id="0"/>
      <w:r w:rsidDel="00000000" w:rsidR="00000000" w:rsidRPr="00000000">
        <w:rPr>
          <w:rtl w:val="0"/>
        </w:rPr>
        <w:t xml:space="preserve">Objective:</w:t>
      </w:r>
    </w:p>
    <w:p w:rsidR="00000000" w:rsidDel="00000000" w:rsidP="00000000" w:rsidRDefault="00000000" w:rsidRPr="00000000" w14:paraId="00000006">
      <w:pPr>
        <w:spacing w:line="276" w:lineRule="auto"/>
        <w:rPr/>
      </w:pPr>
      <w:r w:rsidDel="00000000" w:rsidR="00000000" w:rsidRPr="00000000">
        <w:rPr>
          <w:rtl w:val="0"/>
        </w:rPr>
        <w:t xml:space="preserve">The objective of this policy is to provide a process for Individuals and Staff to air their grievances.</w:t>
      </w:r>
    </w:p>
    <w:p w:rsidR="00000000" w:rsidDel="00000000" w:rsidP="00000000" w:rsidRDefault="00000000" w:rsidRPr="00000000" w14:paraId="00000007">
      <w:pPr>
        <w:pStyle w:val="Heading2"/>
        <w:spacing w:line="276" w:lineRule="auto"/>
        <w:rPr/>
      </w:pPr>
      <w:bookmarkStart w:colFirst="0" w:colLast="0" w:name="_heading=h.ofx2lylro9ty" w:id="1"/>
      <w:bookmarkEnd w:id="1"/>
      <w:r w:rsidDel="00000000" w:rsidR="00000000" w:rsidRPr="00000000">
        <w:rPr>
          <w:rtl w:val="0"/>
        </w:rPr>
        <w:t xml:space="preserve">Definitions:</w:t>
      </w:r>
    </w:p>
    <w:p w:rsidR="00000000" w:rsidDel="00000000" w:rsidP="00000000" w:rsidRDefault="00000000" w:rsidRPr="00000000" w14:paraId="00000008">
      <w:pPr>
        <w:spacing w:line="276" w:lineRule="auto"/>
        <w:rPr>
          <w:b w:val="1"/>
        </w:rPr>
      </w:pPr>
      <w:r w:rsidDel="00000000" w:rsidR="00000000" w:rsidRPr="00000000">
        <w:rPr>
          <w:b w:val="1"/>
          <w:rtl w:val="0"/>
        </w:rPr>
        <w:t xml:space="preserve">GTVCCA:</w:t>
      </w:r>
    </w:p>
    <w:p w:rsidR="00000000" w:rsidDel="00000000" w:rsidP="00000000" w:rsidRDefault="00000000" w:rsidRPr="00000000" w14:paraId="00000009">
      <w:pPr>
        <w:spacing w:line="276" w:lineRule="auto"/>
        <w:rPr/>
      </w:pPr>
      <w:r w:rsidDel="00000000" w:rsidR="00000000" w:rsidRPr="00000000">
        <w:rPr>
          <w:rtl w:val="0"/>
        </w:rPr>
        <w:t xml:space="preserve">The </w:t>
      </w:r>
      <w:r w:rsidDel="00000000" w:rsidR="00000000" w:rsidRPr="00000000">
        <w:rPr>
          <w:rtl w:val="0"/>
        </w:rPr>
        <w:t xml:space="preserve">Green Tree</w:t>
      </w:r>
      <w:r w:rsidDel="00000000" w:rsidR="00000000" w:rsidRPr="00000000">
        <w:rPr>
          <w:rtl w:val="0"/>
        </w:rPr>
        <w:t xml:space="preserve"> Village Community Centre Association is a non-profit society with a volunteer board of five directors.  It was established in 1975 to oversee the management of the Centre</w:t>
      </w:r>
    </w:p>
    <w:p w:rsidR="00000000" w:rsidDel="00000000" w:rsidP="00000000" w:rsidRDefault="00000000" w:rsidRPr="00000000" w14:paraId="0000000A">
      <w:pPr>
        <w:spacing w:line="276" w:lineRule="auto"/>
        <w:rPr>
          <w:b w:val="1"/>
        </w:rPr>
      </w:pPr>
      <w:r w:rsidDel="00000000" w:rsidR="00000000" w:rsidRPr="00000000">
        <w:rPr>
          <w:b w:val="1"/>
          <w:rtl w:val="0"/>
        </w:rPr>
        <w:t xml:space="preserve">Individuals:</w:t>
      </w:r>
    </w:p>
    <w:p w:rsidR="00000000" w:rsidDel="00000000" w:rsidP="00000000" w:rsidRDefault="00000000" w:rsidRPr="00000000" w14:paraId="0000000B">
      <w:pPr>
        <w:spacing w:line="276" w:lineRule="auto"/>
        <w:rPr/>
      </w:pPr>
      <w:r w:rsidDel="00000000" w:rsidR="00000000" w:rsidRPr="00000000">
        <w:rPr>
          <w:rtl w:val="0"/>
        </w:rPr>
        <w:t xml:space="preserve">GTVCCA members, their children and/or  their guests using the facilities at the Centre.</w:t>
      </w:r>
      <w:r w:rsidDel="00000000" w:rsidR="00000000" w:rsidRPr="00000000">
        <w:rPr>
          <w:rtl w:val="0"/>
        </w:rPr>
      </w:r>
    </w:p>
    <w:p w:rsidR="00000000" w:rsidDel="00000000" w:rsidP="00000000" w:rsidRDefault="00000000" w:rsidRPr="00000000" w14:paraId="0000000C">
      <w:pPr>
        <w:spacing w:after="0" w:before="0" w:line="276" w:lineRule="auto"/>
        <w:rPr>
          <w:b w:val="1"/>
        </w:rPr>
      </w:pPr>
      <w:r w:rsidDel="00000000" w:rsidR="00000000" w:rsidRPr="00000000">
        <w:rPr>
          <w:b w:val="1"/>
          <w:rtl w:val="0"/>
        </w:rPr>
        <w:t xml:space="preserve">Staff/Employee:</w:t>
      </w:r>
    </w:p>
    <w:p w:rsidR="00000000" w:rsidDel="00000000" w:rsidP="00000000" w:rsidRDefault="00000000" w:rsidRPr="00000000" w14:paraId="0000000D">
      <w:pPr>
        <w:spacing w:after="0" w:before="0" w:line="276" w:lineRule="auto"/>
        <w:rPr/>
      </w:pPr>
      <w:r w:rsidDel="00000000" w:rsidR="00000000" w:rsidRPr="00000000">
        <w:rPr>
          <w:rtl w:val="0"/>
        </w:rPr>
      </w:r>
    </w:p>
    <w:p w:rsidR="00000000" w:rsidDel="00000000" w:rsidP="00000000" w:rsidRDefault="00000000" w:rsidRPr="00000000" w14:paraId="0000000E">
      <w:pPr>
        <w:spacing w:after="0" w:before="0" w:line="276" w:lineRule="auto"/>
        <w:rPr>
          <w:color w:val="00000a"/>
        </w:rPr>
      </w:pPr>
      <w:bookmarkStart w:colFirst="0" w:colLast="0" w:name="_heading=h.gjdgxs" w:id="2"/>
      <w:bookmarkEnd w:id="2"/>
      <w:r w:rsidDel="00000000" w:rsidR="00000000" w:rsidRPr="00000000">
        <w:rPr>
          <w:color w:val="00000a"/>
          <w:rtl w:val="0"/>
        </w:rPr>
        <w:t xml:space="preserve">a person who regularly works for GTVCCA on a wage or salary basis. Employees/Staff</w:t>
      </w:r>
      <w:r w:rsidDel="00000000" w:rsidR="00000000" w:rsidRPr="00000000">
        <w:rPr>
          <w:color w:val="00000a"/>
          <w:rtl w:val="0"/>
        </w:rPr>
        <w:t xml:space="preserve">  include</w:t>
      </w:r>
      <w:r w:rsidDel="00000000" w:rsidR="00000000" w:rsidRPr="00000000">
        <w:rPr>
          <w:color w:val="00000a"/>
          <w:rtl w:val="0"/>
        </w:rPr>
        <w:t xml:space="preserve"> temporary, regular full-time, regular part-time employees, and other employees who are subject to the control and supervision of GTVCCA in the performance of their duties.</w:t>
      </w:r>
    </w:p>
    <w:p w:rsidR="00000000" w:rsidDel="00000000" w:rsidP="00000000" w:rsidRDefault="00000000" w:rsidRPr="00000000" w14:paraId="0000000F">
      <w:pPr>
        <w:spacing w:after="0" w:before="0" w:line="276" w:lineRule="auto"/>
        <w:rPr/>
      </w:pPr>
      <w:r w:rsidDel="00000000" w:rsidR="00000000" w:rsidRPr="00000000">
        <w:rPr>
          <w:rtl w:val="0"/>
        </w:rPr>
      </w:r>
    </w:p>
    <w:p w:rsidR="00000000" w:rsidDel="00000000" w:rsidP="00000000" w:rsidRDefault="00000000" w:rsidRPr="00000000" w14:paraId="00000010">
      <w:pPr>
        <w:spacing w:after="0" w:before="0" w:line="276" w:lineRule="auto"/>
        <w:rPr>
          <w:b w:val="1"/>
        </w:rPr>
      </w:pPr>
      <w:r w:rsidDel="00000000" w:rsidR="00000000" w:rsidRPr="00000000">
        <w:rPr>
          <w:b w:val="1"/>
          <w:rtl w:val="0"/>
        </w:rPr>
        <w:t xml:space="preserve">Grievance:</w:t>
      </w:r>
    </w:p>
    <w:p w:rsidR="00000000" w:rsidDel="00000000" w:rsidP="00000000" w:rsidRDefault="00000000" w:rsidRPr="00000000" w14:paraId="00000011">
      <w:pPr>
        <w:spacing w:after="0" w:before="0" w:line="276" w:lineRule="auto"/>
        <w:rPr/>
      </w:pPr>
      <w:r w:rsidDel="00000000" w:rsidR="00000000" w:rsidRPr="00000000">
        <w:rPr>
          <w:rtl w:val="0"/>
        </w:rPr>
      </w:r>
    </w:p>
    <w:p w:rsidR="00000000" w:rsidDel="00000000" w:rsidP="00000000" w:rsidRDefault="00000000" w:rsidRPr="00000000" w14:paraId="00000012">
      <w:pPr>
        <w:spacing w:after="0" w:before="0" w:line="276" w:lineRule="auto"/>
        <w:rPr/>
      </w:pPr>
      <w:r w:rsidDel="00000000" w:rsidR="00000000" w:rsidRPr="00000000">
        <w:rPr>
          <w:rtl w:val="0"/>
        </w:rPr>
        <w:t xml:space="preserve">For the purposes of this policy a grievance is a complaint where any Individual or staff objects to the manner in which the affairs of the Society are being conducted or to the manner or method of management and administration of the Community Centre.  (Please refer to the Disruptive Behaviors Policy for other types of complaints).</w:t>
      </w:r>
    </w:p>
    <w:p w:rsidR="00000000" w:rsidDel="00000000" w:rsidP="00000000" w:rsidRDefault="00000000" w:rsidRPr="00000000" w14:paraId="00000013">
      <w:pPr>
        <w:spacing w:after="0" w:before="0" w:line="276" w:lineRule="auto"/>
        <w:rPr/>
      </w:pPr>
      <w:r w:rsidDel="00000000" w:rsidR="00000000" w:rsidRPr="00000000">
        <w:rPr>
          <w:rtl w:val="0"/>
        </w:rPr>
      </w:r>
    </w:p>
    <w:p w:rsidR="00000000" w:rsidDel="00000000" w:rsidP="00000000" w:rsidRDefault="00000000" w:rsidRPr="00000000" w14:paraId="00000014">
      <w:pPr>
        <w:spacing w:after="0" w:before="0" w:line="276" w:lineRule="auto"/>
        <w:rPr/>
      </w:pPr>
      <w:r w:rsidDel="00000000" w:rsidR="00000000" w:rsidRPr="00000000">
        <w:rPr>
          <w:rtl w:val="0"/>
        </w:rPr>
      </w:r>
    </w:p>
    <w:p w:rsidR="00000000" w:rsidDel="00000000" w:rsidP="00000000" w:rsidRDefault="00000000" w:rsidRPr="00000000" w14:paraId="00000015">
      <w:pPr>
        <w:spacing w:after="0" w:before="0" w:line="276" w:lineRule="auto"/>
        <w:rPr/>
      </w:pPr>
      <w:r w:rsidDel="00000000" w:rsidR="00000000" w:rsidRPr="00000000">
        <w:rPr>
          <w:rtl w:val="0"/>
        </w:rPr>
      </w:r>
    </w:p>
    <w:p w:rsidR="00000000" w:rsidDel="00000000" w:rsidP="00000000" w:rsidRDefault="00000000" w:rsidRPr="00000000" w14:paraId="00000016">
      <w:pPr>
        <w:spacing w:after="0" w:before="0" w:line="276" w:lineRule="auto"/>
        <w:rPr/>
      </w:pPr>
      <w:r w:rsidDel="00000000" w:rsidR="00000000" w:rsidRPr="00000000">
        <w:rPr>
          <w:rtl w:val="0"/>
        </w:rPr>
      </w:r>
    </w:p>
    <w:p w:rsidR="00000000" w:rsidDel="00000000" w:rsidP="00000000" w:rsidRDefault="00000000" w:rsidRPr="00000000" w14:paraId="00000017">
      <w:pPr>
        <w:spacing w:after="0" w:before="0" w:line="276" w:lineRule="auto"/>
        <w:rPr/>
      </w:pPr>
      <w:r w:rsidDel="00000000" w:rsidR="00000000" w:rsidRPr="00000000">
        <w:rPr>
          <w:rtl w:val="0"/>
        </w:rPr>
      </w:r>
    </w:p>
    <w:p w:rsidR="00000000" w:rsidDel="00000000" w:rsidP="00000000" w:rsidRDefault="00000000" w:rsidRPr="00000000" w14:paraId="00000018">
      <w:pPr>
        <w:pStyle w:val="Heading2"/>
        <w:spacing w:line="276" w:lineRule="auto"/>
        <w:rPr/>
      </w:pPr>
      <w:bookmarkStart w:colFirst="0" w:colLast="0" w:name="_heading=h.gzexcr8efwlw" w:id="3"/>
      <w:bookmarkEnd w:id="3"/>
      <w:r w:rsidDel="00000000" w:rsidR="00000000" w:rsidRPr="00000000">
        <w:rPr>
          <w:rtl w:val="0"/>
        </w:rPr>
        <w:t xml:space="preserve">Description of Policy</w:t>
      </w:r>
      <w:r w:rsidDel="00000000" w:rsidR="00000000" w:rsidRPr="00000000">
        <w:rPr>
          <w:rtl w:val="0"/>
        </w:rPr>
      </w:r>
    </w:p>
    <w:p w:rsidR="00000000" w:rsidDel="00000000" w:rsidP="00000000" w:rsidRDefault="00000000" w:rsidRPr="00000000" w14:paraId="00000019">
      <w:pPr>
        <w:spacing w:after="0" w:before="200" w:line="276" w:lineRule="auto"/>
        <w:rPr/>
      </w:pPr>
      <w:r w:rsidDel="00000000" w:rsidR="00000000" w:rsidRPr="00000000">
        <w:rPr>
          <w:rtl w:val="0"/>
        </w:rPr>
        <w:t xml:space="preserve">As the GTVCCA is responsible for making decisions that affect Individual’s property interests, membership status or legal rights,  this policy provides the procedures for Individuals and Staff to express dissatisfaction about the service, actions, or lack of action by GTVCCA.  All individuals involved in discussing a grievance are expected to communicate openly and respectfully (please refer to GTVCCA 's Code of Conduct Policy )and to provide reasons for particular decisions or actions. When disagreements arise, greater understanding by all is needed. The  presence of conflict, if dealt with effectively, offers an opportunity for individual and organizational learning including the identification of policies and practices that need to be improved.  </w:t>
      </w:r>
      <w:r w:rsidDel="00000000" w:rsidR="00000000" w:rsidRPr="00000000">
        <w:rPr>
          <w:rtl w:val="0"/>
        </w:rPr>
      </w:r>
    </w:p>
    <w:p w:rsidR="00000000" w:rsidDel="00000000" w:rsidP="00000000" w:rsidRDefault="00000000" w:rsidRPr="00000000" w14:paraId="0000001A">
      <w:pPr>
        <w:spacing w:after="0" w:before="200" w:line="276" w:lineRule="auto"/>
        <w:rPr/>
      </w:pPr>
      <w:r w:rsidDel="00000000" w:rsidR="00000000" w:rsidRPr="00000000">
        <w:rPr>
          <w:rtl w:val="0"/>
        </w:rPr>
        <w:t xml:space="preserve">Examples of Grievances include but are not limited to:</w:t>
      </w:r>
    </w:p>
    <w:p w:rsidR="00000000" w:rsidDel="00000000" w:rsidP="00000000" w:rsidRDefault="00000000" w:rsidRPr="00000000" w14:paraId="0000001B">
      <w:pPr>
        <w:numPr>
          <w:ilvl w:val="0"/>
          <w:numId w:val="1"/>
        </w:numPr>
        <w:spacing w:after="0" w:before="200" w:line="276" w:lineRule="auto"/>
        <w:ind w:left="720" w:hanging="360"/>
        <w:rPr/>
      </w:pPr>
      <w:r w:rsidDel="00000000" w:rsidR="00000000" w:rsidRPr="00000000">
        <w:rPr>
          <w:rtl w:val="0"/>
        </w:rPr>
        <w:t xml:space="preserve">Perceived failure to do something agreed upon;</w:t>
      </w:r>
    </w:p>
    <w:p w:rsidR="00000000" w:rsidDel="00000000" w:rsidP="00000000" w:rsidRDefault="00000000" w:rsidRPr="00000000" w14:paraId="0000001C">
      <w:pPr>
        <w:numPr>
          <w:ilvl w:val="0"/>
          <w:numId w:val="1"/>
        </w:numPr>
        <w:spacing w:after="0" w:before="200" w:line="276" w:lineRule="auto"/>
        <w:ind w:left="720" w:hanging="360"/>
        <w:rPr/>
      </w:pPr>
      <w:r w:rsidDel="00000000" w:rsidR="00000000" w:rsidRPr="00000000">
        <w:rPr>
          <w:rtl w:val="0"/>
        </w:rPr>
        <w:t xml:space="preserve">Perceived failure to observe policy or procedures;</w:t>
      </w:r>
    </w:p>
    <w:p w:rsidR="00000000" w:rsidDel="00000000" w:rsidP="00000000" w:rsidRDefault="00000000" w:rsidRPr="00000000" w14:paraId="0000001D">
      <w:pPr>
        <w:numPr>
          <w:ilvl w:val="0"/>
          <w:numId w:val="1"/>
        </w:numPr>
        <w:spacing w:after="0" w:before="200" w:line="276" w:lineRule="auto"/>
        <w:ind w:left="720" w:hanging="360"/>
        <w:rPr/>
      </w:pPr>
      <w:r w:rsidDel="00000000" w:rsidR="00000000" w:rsidRPr="00000000">
        <w:rPr>
          <w:rtl w:val="0"/>
        </w:rPr>
        <w:t xml:space="preserve">Concern that an error was made by Staff or Board of Directors</w:t>
      </w:r>
    </w:p>
    <w:p w:rsidR="00000000" w:rsidDel="00000000" w:rsidP="00000000" w:rsidRDefault="00000000" w:rsidRPr="00000000" w14:paraId="0000001E">
      <w:pPr>
        <w:spacing w:after="0" w:before="0" w:line="276" w:lineRule="auto"/>
        <w:rPr/>
      </w:pPr>
      <w:r w:rsidDel="00000000" w:rsidR="00000000" w:rsidRPr="00000000">
        <w:rPr>
          <w:rtl w:val="0"/>
        </w:rPr>
      </w:r>
    </w:p>
    <w:p w:rsidR="00000000" w:rsidDel="00000000" w:rsidP="00000000" w:rsidRDefault="00000000" w:rsidRPr="00000000" w14:paraId="0000001F">
      <w:pPr>
        <w:pStyle w:val="Heading2"/>
        <w:spacing w:after="0" w:before="0" w:line="276" w:lineRule="auto"/>
        <w:rPr/>
      </w:pPr>
      <w:bookmarkStart w:colFirst="0" w:colLast="0" w:name="_heading=h.7ak0zairl3ui" w:id="4"/>
      <w:bookmarkEnd w:id="4"/>
      <w:r w:rsidDel="00000000" w:rsidR="00000000" w:rsidRPr="00000000">
        <w:rPr>
          <w:rtl w:val="0"/>
        </w:rPr>
        <w:t xml:space="preserve"> Procedures:</w:t>
      </w:r>
    </w:p>
    <w:p w:rsidR="00000000" w:rsidDel="00000000" w:rsidP="00000000" w:rsidRDefault="00000000" w:rsidRPr="00000000" w14:paraId="00000020">
      <w:pPr>
        <w:numPr>
          <w:ilvl w:val="0"/>
          <w:numId w:val="2"/>
        </w:numPr>
        <w:spacing w:after="0" w:before="200" w:line="276" w:lineRule="auto"/>
        <w:ind w:left="720" w:hanging="360"/>
        <w:rPr/>
      </w:pPr>
      <w:r w:rsidDel="00000000" w:rsidR="00000000" w:rsidRPr="00000000">
        <w:rPr>
          <w:rtl w:val="0"/>
        </w:rPr>
        <w:t xml:space="preserve">An Individual or Staff may give the Directors a written notice setting forth the particulars of their objection.  </w:t>
      </w:r>
    </w:p>
    <w:p w:rsidR="00000000" w:rsidDel="00000000" w:rsidP="00000000" w:rsidRDefault="00000000" w:rsidRPr="00000000" w14:paraId="00000021">
      <w:pPr>
        <w:numPr>
          <w:ilvl w:val="0"/>
          <w:numId w:val="2"/>
        </w:numPr>
        <w:spacing w:after="0" w:before="200" w:line="276" w:lineRule="auto"/>
        <w:ind w:left="720" w:hanging="360"/>
        <w:rPr/>
      </w:pPr>
      <w:r w:rsidDel="00000000" w:rsidR="00000000" w:rsidRPr="00000000">
        <w:rPr>
          <w:rtl w:val="0"/>
        </w:rPr>
        <w:t xml:space="preserve">The objection shall then be considered at the next meeting of Directors, and the Individual or Staff in question shall be entitled to appear at such meeting to make oral representations, consuming not more than 30 minutes of time, regarding the objection.  The Individual or Staff shall only be entitled to be present at that portion of the meeting during which the objection is discussed. </w:t>
      </w:r>
    </w:p>
    <w:p w:rsidR="00000000" w:rsidDel="00000000" w:rsidP="00000000" w:rsidRDefault="00000000" w:rsidRPr="00000000" w14:paraId="00000022">
      <w:pPr>
        <w:numPr>
          <w:ilvl w:val="0"/>
          <w:numId w:val="2"/>
        </w:numPr>
        <w:spacing w:after="0" w:before="200" w:line="276" w:lineRule="auto"/>
        <w:ind w:left="720" w:hanging="360"/>
        <w:rPr/>
      </w:pPr>
      <w:r w:rsidDel="00000000" w:rsidR="00000000" w:rsidRPr="00000000">
        <w:rPr>
          <w:rtl w:val="0"/>
        </w:rPr>
        <w:t xml:space="preserve">The Directors shall, either orally, at the meeting, by letter or email within fourteen (14) days after the meeting advise the Individual or Staff of their response to the objection.</w:t>
      </w:r>
    </w:p>
    <w:p w:rsidR="00000000" w:rsidDel="00000000" w:rsidP="00000000" w:rsidRDefault="00000000" w:rsidRPr="00000000" w14:paraId="00000023">
      <w:pPr>
        <w:spacing w:after="0" w:before="200" w:line="276" w:lineRule="auto"/>
        <w:rPr/>
      </w:pPr>
      <w:r w:rsidDel="00000000" w:rsidR="00000000" w:rsidRPr="00000000">
        <w:rPr>
          <w:rtl w:val="0"/>
        </w:rPr>
      </w:r>
    </w:p>
    <w:p w:rsidR="00000000" w:rsidDel="00000000" w:rsidP="00000000" w:rsidRDefault="00000000" w:rsidRPr="00000000" w14:paraId="00000024">
      <w:pPr>
        <w:spacing w:after="0" w:before="0" w:line="276" w:lineRule="auto"/>
        <w:rPr/>
      </w:pPr>
      <w:r w:rsidDel="00000000" w:rsidR="00000000" w:rsidRPr="00000000">
        <w:rPr>
          <w:rtl w:val="0"/>
        </w:rPr>
      </w:r>
    </w:p>
    <w:p w:rsidR="00000000" w:rsidDel="00000000" w:rsidP="00000000" w:rsidRDefault="00000000" w:rsidRPr="00000000" w14:paraId="00000025">
      <w:pPr>
        <w:pStyle w:val="Heading2"/>
        <w:spacing w:after="0" w:before="0" w:line="276" w:lineRule="auto"/>
        <w:rPr/>
      </w:pPr>
      <w:bookmarkStart w:colFirst="0" w:colLast="0" w:name="_heading=h.39t75dsszayr" w:id="5"/>
      <w:bookmarkEnd w:id="5"/>
      <w:r w:rsidDel="00000000" w:rsidR="00000000" w:rsidRPr="00000000">
        <w:rPr>
          <w:rtl w:val="0"/>
        </w:rPr>
        <w:t xml:space="preserve">References:</w:t>
      </w:r>
    </w:p>
    <w:p w:rsidR="00000000" w:rsidDel="00000000" w:rsidP="00000000" w:rsidRDefault="00000000" w:rsidRPr="00000000" w14:paraId="00000026">
      <w:pPr>
        <w:spacing w:after="0" w:before="0" w:line="276" w:lineRule="auto"/>
        <w:rPr/>
      </w:pPr>
      <w:r w:rsidDel="00000000" w:rsidR="00000000" w:rsidRPr="00000000">
        <w:rPr>
          <w:rtl w:val="0"/>
        </w:rPr>
      </w:r>
    </w:p>
    <w:p w:rsidR="00000000" w:rsidDel="00000000" w:rsidP="00000000" w:rsidRDefault="00000000" w:rsidRPr="00000000" w14:paraId="00000027">
      <w:pPr>
        <w:spacing w:after="0" w:before="0" w:line="276" w:lineRule="auto"/>
        <w:rPr/>
      </w:pPr>
      <w:r w:rsidDel="00000000" w:rsidR="00000000" w:rsidRPr="00000000">
        <w:rPr>
          <w:rtl w:val="0"/>
        </w:rPr>
        <w:t xml:space="preserve">Governing Good</w:t>
      </w:r>
    </w:p>
    <w:p w:rsidR="00000000" w:rsidDel="00000000" w:rsidP="00000000" w:rsidRDefault="00000000" w:rsidRPr="00000000" w14:paraId="00000028">
      <w:pPr>
        <w:spacing w:after="0" w:before="0" w:line="276" w:lineRule="auto"/>
        <w:rPr/>
      </w:pPr>
      <w:r w:rsidDel="00000000" w:rsidR="00000000" w:rsidRPr="00000000">
        <w:rPr>
          <w:rtl w:val="0"/>
        </w:rPr>
        <w:t xml:space="preserve">http://www.governinggood.ca/</w:t>
      </w:r>
    </w:p>
    <w:p w:rsidR="00000000" w:rsidDel="00000000" w:rsidP="00000000" w:rsidRDefault="00000000" w:rsidRPr="00000000" w14:paraId="00000029">
      <w:pPr>
        <w:spacing w:after="0" w:before="0" w:line="276" w:lineRule="auto"/>
        <w:rPr/>
      </w:pPr>
      <w:r w:rsidDel="00000000" w:rsidR="00000000" w:rsidRPr="00000000">
        <w:rPr>
          <w:rtl w:val="0"/>
        </w:rPr>
      </w:r>
    </w:p>
    <w:p w:rsidR="00000000" w:rsidDel="00000000" w:rsidP="00000000" w:rsidRDefault="00000000" w:rsidRPr="00000000" w14:paraId="0000002A">
      <w:pPr>
        <w:spacing w:after="0" w:before="0" w:line="276" w:lineRule="auto"/>
        <w:rPr>
          <w:color w:val="1a0dab"/>
          <w:u w:val="single"/>
        </w:rPr>
      </w:pPr>
      <w:r w:rsidDel="00000000" w:rsidR="00000000" w:rsidRPr="00000000">
        <w:rPr>
          <w:rtl w:val="0"/>
        </w:rPr>
        <w:t xml:space="preserve">Bc Cancer Society Complaints Policy</w:t>
      </w:r>
      <w:r w:rsidDel="00000000" w:rsidR="00000000" w:rsidRPr="00000000">
        <w:fldChar w:fldCharType="begin"/>
        <w:instrText xml:space="preserve"> HYPERLINK "https://bccancerfoundation.com/complaints/#:~:text=Complaints%20procedure%20%E2%80%93%20how%20to%20file%20a%20complaint%3A&amp;text=By%20phone%3A%20Please%20call%20our,%40bccancer.bc.ca." </w:instrText>
        <w:fldChar w:fldCharType="separate"/>
      </w:r>
      <w:r w:rsidDel="00000000" w:rsidR="00000000" w:rsidRPr="00000000">
        <w:rPr>
          <w:rtl w:val="0"/>
        </w:rPr>
      </w:r>
    </w:p>
    <w:p w:rsidR="00000000" w:rsidDel="00000000" w:rsidP="00000000" w:rsidRDefault="00000000" w:rsidRPr="00000000" w14:paraId="0000002B">
      <w:pPr>
        <w:spacing w:after="0" w:before="0" w:line="276" w:lineRule="auto"/>
        <w:rPr/>
      </w:pPr>
      <w:r w:rsidDel="00000000" w:rsidR="00000000" w:rsidRPr="00000000">
        <w:fldChar w:fldCharType="end"/>
      </w:r>
      <w:r w:rsidDel="00000000" w:rsidR="00000000" w:rsidRPr="00000000">
        <w:rPr>
          <w:rtl w:val="0"/>
        </w:rPr>
        <w:t xml:space="preserve">https://bccancerfoundation.com/complaints-policy</w:t>
      </w:r>
    </w:p>
    <w:p w:rsidR="00000000" w:rsidDel="00000000" w:rsidP="00000000" w:rsidRDefault="00000000" w:rsidRPr="00000000" w14:paraId="0000002C">
      <w:pPr>
        <w:spacing w:after="0" w:before="0" w:line="276" w:lineRule="auto"/>
        <w:rPr/>
      </w:pPr>
      <w:r w:rsidDel="00000000" w:rsidR="00000000" w:rsidRPr="00000000">
        <w:rPr>
          <w:rtl w:val="0"/>
        </w:rPr>
      </w:r>
    </w:p>
    <w:p w:rsidR="00000000" w:rsidDel="00000000" w:rsidP="00000000" w:rsidRDefault="00000000" w:rsidRPr="00000000" w14:paraId="0000002D">
      <w:pPr>
        <w:spacing w:after="0" w:before="0" w:line="276" w:lineRule="auto"/>
        <w:rPr/>
      </w:pPr>
      <w:r w:rsidDel="00000000" w:rsidR="00000000" w:rsidRPr="00000000">
        <w:rPr>
          <w:rtl w:val="0"/>
        </w:rPr>
      </w:r>
    </w:p>
    <w:p w:rsidR="00000000" w:rsidDel="00000000" w:rsidP="00000000" w:rsidRDefault="00000000" w:rsidRPr="00000000" w14:paraId="0000002E">
      <w:pPr>
        <w:pStyle w:val="Heading2"/>
        <w:spacing w:line="276" w:lineRule="auto"/>
        <w:rPr/>
      </w:pPr>
      <w:bookmarkStart w:colFirst="0" w:colLast="0" w:name="_heading=h.fjz0d390fxw9" w:id="6"/>
      <w:bookmarkEnd w:id="6"/>
      <w:r w:rsidDel="00000000" w:rsidR="00000000" w:rsidRPr="00000000">
        <w:rPr>
          <w:rtl w:val="0"/>
        </w:rPr>
        <w:t xml:space="preserve">Annual Review</w:t>
      </w:r>
    </w:p>
    <w:p w:rsidR="00000000" w:rsidDel="00000000" w:rsidP="00000000" w:rsidRDefault="00000000" w:rsidRPr="00000000" w14:paraId="0000002F">
      <w:pPr>
        <w:spacing w:line="276" w:lineRule="auto"/>
        <w:rPr/>
      </w:pPr>
      <w:r w:rsidDel="00000000" w:rsidR="00000000" w:rsidRPr="00000000">
        <w:rPr>
          <w:rtl w:val="0"/>
        </w:rPr>
        <w:t xml:space="preserve">This policy will be reviewed annually.  All Staff and Members will have access to a copy.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32">
      <w:pPr>
        <w:spacing w:after="0" w:before="0" w:line="276" w:lineRule="auto"/>
        <w:rPr/>
      </w:pPr>
      <w:r w:rsidDel="00000000" w:rsidR="00000000" w:rsidRPr="00000000">
        <w:rPr>
          <w:rtl w:val="0"/>
        </w:rPr>
      </w:r>
    </w:p>
    <w:p w:rsidR="00000000" w:rsidDel="00000000" w:rsidP="00000000" w:rsidRDefault="00000000" w:rsidRPr="00000000" w14:paraId="00000033">
      <w:pPr>
        <w:spacing w:after="0" w:before="0" w:line="276" w:lineRule="auto"/>
        <w:rPr/>
      </w:pPr>
      <w:r w:rsidDel="00000000" w:rsidR="00000000" w:rsidRPr="00000000">
        <w:rPr>
          <w:rtl w:val="0"/>
        </w:rPr>
      </w:r>
    </w:p>
    <w:p w:rsidR="00000000" w:rsidDel="00000000" w:rsidP="00000000" w:rsidRDefault="00000000" w:rsidRPr="00000000" w14:paraId="00000034">
      <w:pPr>
        <w:spacing w:after="0" w:before="0"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MgEKhpaj2N9iOzZ7iVfgEnYPQ==">AMUW2mVIFI35nel7jxH0J0cH6x+OlAnLjWoNwKellbgVwQu7VoozSqfRC3pvbMjFlJ3qnxBafOxXlel/bA54kPHcCeQBll9uRrq0Sj8LF7lcnYsQuwSlAhL4kynJY1HaLDqmXtM5e6e1i0wlymKJP6Zuz+E45TayI5OzVDvS6fx3tWFGUG1SueyaHWIs/aANwcH71WF0B/kvjuqLqHUuRu8TZ+rKVEtxwdOl43STtXKkX7hoRXuL4xmV7Ncfm78KzjASfDzH5Ksz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